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BF835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03D31980">
      <w:pPr>
        <w:rPr>
          <w:rFonts w:hint="eastAsia"/>
          <w:sz w:val="52"/>
          <w:szCs w:val="32"/>
          <w:lang w:val="en-US" w:eastAsia="zh-CN"/>
        </w:rPr>
      </w:pPr>
    </w:p>
    <w:p w14:paraId="3F518E1A"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北京市大兴区黄村镇接诉即办调度指挥分中心</w:t>
      </w:r>
    </w:p>
    <w:p w14:paraId="1D009A8C">
      <w:pPr>
        <w:ind w:firstLine="1600" w:firstLineChars="500"/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——黄村镇接诉即办运营服务项目</w:t>
      </w:r>
    </w:p>
    <w:p w14:paraId="4297CDCB">
      <w:pPr>
        <w:rPr>
          <w:rFonts w:hint="eastAsia"/>
          <w:sz w:val="32"/>
          <w:szCs w:val="32"/>
          <w:lang w:val="en-US" w:eastAsia="zh-CN"/>
        </w:rPr>
      </w:pPr>
    </w:p>
    <w:p w14:paraId="69723E45">
      <w:pPr>
        <w:rPr>
          <w:rFonts w:hint="eastAsia"/>
          <w:sz w:val="32"/>
          <w:szCs w:val="32"/>
          <w:lang w:val="en-US" w:eastAsia="zh-CN"/>
        </w:rPr>
      </w:pPr>
    </w:p>
    <w:p w14:paraId="33B6B5CA">
      <w:pPr>
        <w:rPr>
          <w:rFonts w:hint="eastAsia"/>
          <w:sz w:val="32"/>
          <w:szCs w:val="32"/>
          <w:lang w:val="en-US" w:eastAsia="zh-CN"/>
        </w:rPr>
      </w:pPr>
    </w:p>
    <w:p w14:paraId="4CDD4F50">
      <w:pPr>
        <w:rPr>
          <w:rFonts w:hint="eastAsia"/>
          <w:sz w:val="32"/>
          <w:szCs w:val="32"/>
          <w:lang w:val="en-US" w:eastAsia="zh-CN"/>
        </w:rPr>
      </w:pPr>
    </w:p>
    <w:p w14:paraId="0FC8664A">
      <w:pPr>
        <w:rPr>
          <w:rFonts w:hint="eastAsia"/>
          <w:sz w:val="32"/>
          <w:szCs w:val="32"/>
          <w:lang w:val="en-US" w:eastAsia="zh-CN"/>
        </w:rPr>
      </w:pPr>
    </w:p>
    <w:p w14:paraId="5FC40E95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项目申报单位（科室）：市民诉求处置中心</w:t>
      </w:r>
    </w:p>
    <w:p w14:paraId="392EAF34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3C172E4F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项目实施年度：2025年度</w:t>
      </w:r>
    </w:p>
    <w:p w14:paraId="5B384A0B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 w14:paraId="497FE179">
      <w:pPr>
        <w:rPr>
          <w:rFonts w:hint="eastAsia"/>
          <w:sz w:val="32"/>
          <w:szCs w:val="32"/>
          <w:lang w:val="en-US" w:eastAsia="zh-CN"/>
        </w:rPr>
      </w:pPr>
    </w:p>
    <w:p w14:paraId="755975E4">
      <w:pPr>
        <w:rPr>
          <w:rFonts w:hint="eastAsia"/>
          <w:sz w:val="32"/>
          <w:szCs w:val="32"/>
          <w:lang w:val="en-US" w:eastAsia="zh-CN"/>
        </w:rPr>
      </w:pPr>
    </w:p>
    <w:p w14:paraId="59DA0E19">
      <w:pPr>
        <w:rPr>
          <w:rFonts w:hint="eastAsia"/>
          <w:sz w:val="32"/>
          <w:szCs w:val="32"/>
          <w:lang w:val="en-US" w:eastAsia="zh-CN"/>
        </w:rPr>
      </w:pPr>
    </w:p>
    <w:p w14:paraId="73472706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项目申报单位盖章（科室）：         </w:t>
      </w:r>
    </w:p>
    <w:p w14:paraId="5A0A485A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C08E55E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1A1EF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448A77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50EA3F7E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黄村镇接诉即办运营服务项目</w:t>
            </w:r>
          </w:p>
        </w:tc>
      </w:tr>
      <w:tr w14:paraId="21607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5BACC9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70901FF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市民诉求处置中心</w:t>
            </w:r>
          </w:p>
        </w:tc>
        <w:tc>
          <w:tcPr>
            <w:tcW w:w="2052" w:type="dxa"/>
            <w:vAlign w:val="center"/>
          </w:tcPr>
          <w:p w14:paraId="3041132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19814C2F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黄村镇政府</w:t>
            </w:r>
          </w:p>
        </w:tc>
      </w:tr>
      <w:tr w14:paraId="1B560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CFA62B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3913181F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高瑞龙</w:t>
            </w:r>
          </w:p>
        </w:tc>
        <w:tc>
          <w:tcPr>
            <w:tcW w:w="2052" w:type="dxa"/>
            <w:vAlign w:val="center"/>
          </w:tcPr>
          <w:p w14:paraId="0CB107F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3F4D9D6C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13910292311</w:t>
            </w:r>
          </w:p>
        </w:tc>
      </w:tr>
      <w:tr w14:paraId="18254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3667E0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33F5931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88CC6B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251DD918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其他政府购买服务类项目</w:t>
            </w:r>
          </w:p>
        </w:tc>
      </w:tr>
      <w:tr w14:paraId="59322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B1ACF1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0AB6FE8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DA075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7E4D89CB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 w14:paraId="34EDB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4B67E5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3AE19A5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329BC5E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09DE44CC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0863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1FA0A8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EAE1796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4108DA3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730C5384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</w:tr>
      <w:tr w14:paraId="3355E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912AB6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6120B1A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CEDC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73C732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3228307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0EB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668A6FC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02428F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自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2020年以来，市中心不断强化接诉即办工作，先后增加了12345企业服务热线、网上12345、垃圾分类专项、七有五性专项、物业管理条例推行专项等任务，深化接诉即办线上线下双考核，建立特殊诉求一事一报机制，接诉即办日常工作不断增加和细化。为全面提升大兴区黄村镇市民服务热线工作，提高市民诉求办理的解决率和满意率，按照《北京市接诉即办工作条例》工作要求，坚决贯彻落实“吹哨报到、接诉即办、主动治理”三步改革措施，根据黄村镇市民服务热线工作现状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规范接诉即办座席队伍建设，明确责任，选拔高素质人才，充实接诉即办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座席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队伍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，提高黄村镇接诉即办工作水平和成绩。</w:t>
            </w:r>
          </w:p>
          <w:p w14:paraId="4E18657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C4FCA52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91C1303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AE82F1C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 xml:space="preserve">单位：市民诉求处置中心                                           </w:t>
      </w:r>
      <w:r>
        <w:rPr>
          <w:rFonts w:hint="eastAsia"/>
          <w:b w:val="0"/>
          <w:bCs w:val="0"/>
          <w:sz w:val="30"/>
          <w:szCs w:val="30"/>
          <w:highlight w:val="none"/>
          <w:lang w:val="en-US" w:eastAsia="zh-CN"/>
        </w:rPr>
        <w:t>293.52万元（保留六位小数）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3ABAD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8C83484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7B7CE437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2BF4A738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5D62980B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40EF5363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4A488F8D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58B0EFAC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2A0DEE88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53AF7AD9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2C2930CC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1C7D497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7BD721A6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022682AF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需求时间</w:t>
            </w:r>
          </w:p>
        </w:tc>
        <w:tc>
          <w:tcPr>
            <w:tcW w:w="1013" w:type="dxa"/>
            <w:vAlign w:val="center"/>
          </w:tcPr>
          <w:p w14:paraId="4F819A70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预算申请金额</w:t>
            </w:r>
          </w:p>
        </w:tc>
      </w:tr>
      <w:tr w14:paraId="70775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DEAE0B2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黄村镇接诉即办运营服务项目</w:t>
            </w:r>
          </w:p>
        </w:tc>
        <w:tc>
          <w:tcPr>
            <w:tcW w:w="1012" w:type="dxa"/>
            <w:vAlign w:val="center"/>
          </w:tcPr>
          <w:p w14:paraId="00C3D50A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287ABAB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5E0BC41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AE3A5D3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EC725B3">
            <w:pPr>
              <w:jc w:val="left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财政资金</w:t>
            </w:r>
          </w:p>
        </w:tc>
        <w:tc>
          <w:tcPr>
            <w:tcW w:w="1012" w:type="dxa"/>
            <w:vAlign w:val="center"/>
          </w:tcPr>
          <w:p w14:paraId="473BD3FF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EAB9CF7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0D74A89">
            <w:pPr>
              <w:jc w:val="left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1E30D375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4B2926A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7E0D381">
            <w:pPr>
              <w:jc w:val="left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1套</w:t>
            </w:r>
          </w:p>
        </w:tc>
        <w:tc>
          <w:tcPr>
            <w:tcW w:w="1013" w:type="dxa"/>
            <w:vAlign w:val="center"/>
          </w:tcPr>
          <w:p w14:paraId="1820E8B2">
            <w:pPr>
              <w:jc w:val="left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2024.10.12-2025.10.11</w:t>
            </w:r>
          </w:p>
        </w:tc>
        <w:tc>
          <w:tcPr>
            <w:tcW w:w="1013" w:type="dxa"/>
            <w:vAlign w:val="center"/>
          </w:tcPr>
          <w:p w14:paraId="4FB68223">
            <w:pPr>
              <w:jc w:val="left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293.52万元</w:t>
            </w:r>
          </w:p>
        </w:tc>
      </w:tr>
      <w:tr w14:paraId="09C56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01B834F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32F63E4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F600273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B7C1686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25EB95D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3D1A6EC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CDBED79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A2C45B6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1F0479B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5B8F8F2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543CB28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EF55C51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84BF3B3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EC93DDF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36DF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62B3498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E3CAC0E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57CC6BB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1E487BF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EB184A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FB8B025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99713DE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DE7706E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41D060C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924987E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E0CF036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737932D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B31B29D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1D329E7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4E64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873FBC0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459C8FF8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AB788F7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A766B4C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700831F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182530D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11C8C4D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87DF18B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37788C1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94207C8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0D13D1B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EC5D5BF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58B9C5D"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A7A8E4B">
            <w:pPr>
              <w:jc w:val="left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293.52万元</w:t>
            </w:r>
          </w:p>
        </w:tc>
      </w:tr>
    </w:tbl>
    <w:p w14:paraId="5EAD06F2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773E6A90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71470D13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238350AB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D3B9E07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1BC55BF5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53790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24853DD5">
            <w:pPr>
              <w:numPr>
                <w:ilvl w:val="0"/>
                <w:numId w:val="0"/>
              </w:num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科室名称</w:t>
            </w:r>
          </w:p>
        </w:tc>
        <w:tc>
          <w:tcPr>
            <w:tcW w:w="2352" w:type="dxa"/>
          </w:tcPr>
          <w:p w14:paraId="7F383457">
            <w:pPr>
              <w:numPr>
                <w:ilvl w:val="0"/>
                <w:numId w:val="0"/>
              </w:numPr>
              <w:jc w:val="left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市民诉求处置中心</w:t>
            </w:r>
          </w:p>
        </w:tc>
        <w:tc>
          <w:tcPr>
            <w:tcW w:w="1992" w:type="dxa"/>
          </w:tcPr>
          <w:p w14:paraId="3C43B946">
            <w:pPr>
              <w:numPr>
                <w:ilvl w:val="0"/>
                <w:numId w:val="0"/>
              </w:num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地址（房间号）</w:t>
            </w:r>
          </w:p>
        </w:tc>
        <w:tc>
          <w:tcPr>
            <w:tcW w:w="2628" w:type="dxa"/>
          </w:tcPr>
          <w:p w14:paraId="00B99B81">
            <w:pPr>
              <w:numPr>
                <w:ilvl w:val="0"/>
                <w:numId w:val="0"/>
              </w:numPr>
              <w:jc w:val="left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黄村镇政府第二办公区301</w:t>
            </w:r>
          </w:p>
        </w:tc>
      </w:tr>
      <w:tr w14:paraId="486E5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0284A861">
            <w:pPr>
              <w:numPr>
                <w:ilvl w:val="0"/>
                <w:numId w:val="0"/>
              </w:num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352" w:type="dxa"/>
          </w:tcPr>
          <w:p w14:paraId="624F8267">
            <w:pPr>
              <w:numPr>
                <w:ilvl w:val="0"/>
                <w:numId w:val="0"/>
              </w:numPr>
              <w:jc w:val="left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13910292311</w:t>
            </w:r>
          </w:p>
        </w:tc>
        <w:tc>
          <w:tcPr>
            <w:tcW w:w="1992" w:type="dxa"/>
          </w:tcPr>
          <w:p w14:paraId="17869741">
            <w:pPr>
              <w:numPr>
                <w:ilvl w:val="0"/>
                <w:numId w:val="0"/>
              </w:num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邮编</w:t>
            </w:r>
          </w:p>
        </w:tc>
        <w:tc>
          <w:tcPr>
            <w:tcW w:w="2628" w:type="dxa"/>
          </w:tcPr>
          <w:p w14:paraId="26A45A44">
            <w:pPr>
              <w:numPr>
                <w:ilvl w:val="0"/>
                <w:numId w:val="0"/>
              </w:numPr>
              <w:jc w:val="left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102600</w:t>
            </w:r>
          </w:p>
        </w:tc>
      </w:tr>
      <w:tr w14:paraId="440B4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76F654B8">
            <w:pPr>
              <w:numPr>
                <w:ilvl w:val="0"/>
                <w:numId w:val="0"/>
              </w:num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上级单位</w:t>
            </w:r>
          </w:p>
        </w:tc>
        <w:tc>
          <w:tcPr>
            <w:tcW w:w="2352" w:type="dxa"/>
          </w:tcPr>
          <w:p w14:paraId="0CF68861">
            <w:pPr>
              <w:numPr>
                <w:ilvl w:val="0"/>
                <w:numId w:val="0"/>
              </w:numPr>
              <w:jc w:val="left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黄村镇政府</w:t>
            </w:r>
          </w:p>
        </w:tc>
        <w:tc>
          <w:tcPr>
            <w:tcW w:w="1992" w:type="dxa"/>
          </w:tcPr>
          <w:p w14:paraId="496E9783">
            <w:pPr>
              <w:numPr>
                <w:ilvl w:val="0"/>
                <w:numId w:val="0"/>
              </w:num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所隶主管领导</w:t>
            </w:r>
          </w:p>
        </w:tc>
        <w:tc>
          <w:tcPr>
            <w:tcW w:w="2628" w:type="dxa"/>
          </w:tcPr>
          <w:p w14:paraId="402A0CB0">
            <w:pPr>
              <w:numPr>
                <w:ilvl w:val="0"/>
                <w:numId w:val="0"/>
              </w:numPr>
              <w:jc w:val="left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周磊</w:t>
            </w:r>
          </w:p>
        </w:tc>
      </w:tr>
    </w:tbl>
    <w:p w14:paraId="196D03F3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5C92CA33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5A732D8E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330F8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00" w:type="dxa"/>
          </w:tcPr>
          <w:p w14:paraId="49E7BA8E">
            <w:pPr>
              <w:numPr>
                <w:ilvl w:val="0"/>
                <w:numId w:val="0"/>
              </w:num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222" w:type="dxa"/>
          </w:tcPr>
          <w:p w14:paraId="454ECEBD">
            <w:pPr>
              <w:numPr>
                <w:ilvl w:val="0"/>
                <w:numId w:val="0"/>
              </w:num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黄村镇接诉即办运营服务项目</w:t>
            </w:r>
          </w:p>
        </w:tc>
      </w:tr>
      <w:tr w14:paraId="3D43F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48FEFEC8">
            <w:pPr>
              <w:numPr>
                <w:ilvl w:val="0"/>
                <w:numId w:val="0"/>
              </w:num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项目类型</w:t>
            </w:r>
          </w:p>
        </w:tc>
        <w:tc>
          <w:tcPr>
            <w:tcW w:w="6222" w:type="dxa"/>
          </w:tcPr>
          <w:p w14:paraId="0B532F9A">
            <w:pPr>
              <w:numPr>
                <w:ilvl w:val="0"/>
                <w:numId w:val="0"/>
              </w:num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1.行政事业类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 2" w:char="0052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 2.专项资金类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</w:p>
        </w:tc>
      </w:tr>
      <w:tr w14:paraId="2BE1C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6919D391">
            <w:pPr>
              <w:numPr>
                <w:ilvl w:val="0"/>
                <w:numId w:val="0"/>
              </w:num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项目属性</w:t>
            </w:r>
          </w:p>
        </w:tc>
        <w:tc>
          <w:tcPr>
            <w:tcW w:w="6222" w:type="dxa"/>
          </w:tcPr>
          <w:p w14:paraId="67D73EC7">
            <w:pPr>
              <w:numPr>
                <w:ilvl w:val="0"/>
                <w:numId w:val="0"/>
              </w:num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1.延续项目☑         2.新增项目□</w:t>
            </w:r>
          </w:p>
        </w:tc>
      </w:tr>
    </w:tbl>
    <w:p w14:paraId="3DA86546"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</w:p>
    <w:p w14:paraId="147BC2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主要工作内容：</w:t>
      </w:r>
    </w:p>
    <w:p w14:paraId="624EF2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规范接诉即办座席队伍建设，明确责任，组建市民服务热线运营服务专业团队，负责系统值守、案件回访、案件回复、案件督办、不纳入考核材料复核及数据分析等工作进行12345市民服务热线案件的办理，提高黄村镇接诉即办工作水平和成绩。</w:t>
      </w:r>
    </w:p>
    <w:p w14:paraId="0255B3F9"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</w:p>
    <w:p w14:paraId="589EF3B6"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1EACB0F2">
      <w:pPr>
        <w:numPr>
          <w:ilvl w:val="0"/>
          <w:numId w:val="0"/>
        </w:numPr>
        <w:ind w:firstLine="560" w:firstLineChars="200"/>
        <w:jc w:val="left"/>
        <w:rPr>
          <w:rFonts w:hint="default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为满足黄村镇市民服务热线专班工作队伍的日常运行等工作，根据辖区实际情况，组建26人的12345热线服务队伍，做好12345市民服务热线系统值守、办结、案件回访、督办、不纳入考核和数据分析等工作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highlight w:val="none"/>
          <w:lang w:val="en-US" w:eastAsia="zh-CN"/>
        </w:rPr>
        <w:t>。全年服务费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highlight w:val="none"/>
          <w:vertAlign w:val="baseline"/>
          <w:lang w:val="en-US" w:eastAsia="zh-CN"/>
        </w:rPr>
        <w:t>293.52万元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highlight w:val="none"/>
          <w:lang w:val="en-US" w:eastAsia="zh-CN"/>
        </w:rPr>
        <w:t>。</w:t>
      </w:r>
    </w:p>
    <w:p w14:paraId="2A490876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必要性和可行性</w:t>
      </w:r>
    </w:p>
    <w:p w14:paraId="0C4B14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1.项目实施的必要性：</w:t>
      </w:r>
    </w:p>
    <w:p w14:paraId="5ADFCE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市中心不断强化接诉即办工作，先后增加了12345企业服务热线、网上12345、垃圾分类专项、七有五性专项、物业管理条例推行专项等任务，深化接诉即办线上线下双考核，建立特殊诉求一事一报机制，接诉即办日常工作不断增加和细化。</w:t>
      </w:r>
    </w:p>
    <w:p w14:paraId="2647F274">
      <w:pPr>
        <w:numPr>
          <w:ilvl w:val="0"/>
          <w:numId w:val="2"/>
        </w:numPr>
        <w:tabs>
          <w:tab w:val="clear" w:pos="312"/>
        </w:tabs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1F0E8CFE">
      <w:pPr>
        <w:numPr>
          <w:ilvl w:val="0"/>
          <w:numId w:val="0"/>
        </w:numPr>
        <w:ind w:firstLine="560" w:firstLineChars="200"/>
        <w:jc w:val="left"/>
        <w:rPr>
          <w:rFonts w:hint="default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通过规范接诉即办座席队伍建设，明确责任，选拔高素质人才，充实接诉即办座席队伍，提升接诉即办案件办理水平和质量，不断提高黄村镇接诉即办工作成绩。</w:t>
      </w:r>
    </w:p>
    <w:p w14:paraId="2A07B183">
      <w:pPr>
        <w:numPr>
          <w:ilvl w:val="0"/>
          <w:numId w:val="0"/>
        </w:numPr>
        <w:ind w:leftChars="0"/>
        <w:jc w:val="left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进度与计划安排：该项目计划在2025年内完成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450"/>
        <w:gridCol w:w="2423"/>
      </w:tblGrid>
      <w:tr w14:paraId="74F82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649" w:type="dxa"/>
            <w:vAlign w:val="center"/>
          </w:tcPr>
          <w:p w14:paraId="60C596BF">
            <w:pPr>
              <w:numPr>
                <w:ilvl w:val="0"/>
                <w:numId w:val="0"/>
              </w:numPr>
              <w:jc w:val="left"/>
              <w:rPr>
                <w:rFonts w:hint="eastAsia" w:asciiTheme="majorEastAsia" w:hAnsiTheme="majorEastAsia" w:eastAsiaTheme="majorEastAsia" w:cstheme="maj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3450" w:type="dxa"/>
            <w:vAlign w:val="center"/>
          </w:tcPr>
          <w:p w14:paraId="1692454A">
            <w:pPr>
              <w:numPr>
                <w:ilvl w:val="0"/>
                <w:numId w:val="0"/>
              </w:numPr>
              <w:jc w:val="left"/>
              <w:rPr>
                <w:rFonts w:hint="eastAsia" w:asciiTheme="majorEastAsia" w:hAnsiTheme="majorEastAsia" w:eastAsiaTheme="majorEastAsia" w:cstheme="maj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时间安排</w:t>
            </w:r>
          </w:p>
        </w:tc>
        <w:tc>
          <w:tcPr>
            <w:tcW w:w="2423" w:type="dxa"/>
            <w:vAlign w:val="center"/>
          </w:tcPr>
          <w:p w14:paraId="080A574D">
            <w:pPr>
              <w:numPr>
                <w:ilvl w:val="0"/>
                <w:numId w:val="0"/>
              </w:numPr>
              <w:jc w:val="left"/>
              <w:rPr>
                <w:rFonts w:hint="eastAsia" w:asciiTheme="majorEastAsia" w:hAnsiTheme="majorEastAsia" w:eastAsiaTheme="majorEastAsia" w:cstheme="maj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进度计划</w:t>
            </w:r>
          </w:p>
        </w:tc>
      </w:tr>
      <w:tr w14:paraId="7B473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</w:tcPr>
          <w:p w14:paraId="629E32A0">
            <w:pPr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黄村镇接诉即办运营服务项目</w:t>
            </w:r>
          </w:p>
        </w:tc>
        <w:tc>
          <w:tcPr>
            <w:tcW w:w="3450" w:type="dxa"/>
          </w:tcPr>
          <w:p w14:paraId="7600A950"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2025.10.12</w:t>
            </w:r>
          </w:p>
        </w:tc>
        <w:tc>
          <w:tcPr>
            <w:tcW w:w="2423" w:type="dxa"/>
          </w:tcPr>
          <w:p w14:paraId="17949447"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完成项目</w:t>
            </w:r>
            <w:bookmarkStart w:id="0" w:name="_GoBack"/>
            <w:bookmarkEnd w:id="0"/>
          </w:p>
        </w:tc>
      </w:tr>
    </w:tbl>
    <w:p w14:paraId="4E26A238">
      <w:pPr>
        <w:numPr>
          <w:ilvl w:val="0"/>
          <w:numId w:val="0"/>
        </w:numPr>
        <w:ind w:leftChars="0"/>
        <w:jc w:val="left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</w:p>
    <w:p w14:paraId="54D1D18E">
      <w:pPr>
        <w:numPr>
          <w:ilvl w:val="0"/>
          <w:numId w:val="0"/>
        </w:numPr>
        <w:ind w:leftChars="0"/>
        <w:jc w:val="left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</w:p>
    <w:p w14:paraId="62CEE4FA">
      <w:pPr>
        <w:numPr>
          <w:ilvl w:val="0"/>
          <w:numId w:val="0"/>
        </w:numPr>
        <w:ind w:left="803" w:leftChars="0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</w:p>
    <w:p w14:paraId="5D20AF4E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10226DA"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551B399B"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7B37D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4CCCA178">
            <w:pPr>
              <w:numPr>
                <w:ilvl w:val="0"/>
                <w:numId w:val="0"/>
              </w:num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XX项目</w:t>
            </w:r>
          </w:p>
        </w:tc>
      </w:tr>
      <w:tr w14:paraId="20146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15C6F287">
            <w:pPr>
              <w:numPr>
                <w:ilvl w:val="0"/>
                <w:numId w:val="0"/>
              </w:numPr>
              <w:jc w:val="righ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单位：万元</w:t>
            </w:r>
          </w:p>
        </w:tc>
      </w:tr>
      <w:tr w14:paraId="48804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1BB0F7A3">
            <w:pPr>
              <w:numPr>
                <w:ilvl w:val="0"/>
                <w:numId w:val="0"/>
              </w:num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493" w:type="dxa"/>
          </w:tcPr>
          <w:p w14:paraId="232B6E27">
            <w:pPr>
              <w:numPr>
                <w:ilvl w:val="0"/>
                <w:numId w:val="0"/>
              </w:num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名称</w:t>
            </w:r>
          </w:p>
        </w:tc>
        <w:tc>
          <w:tcPr>
            <w:tcW w:w="3090" w:type="dxa"/>
          </w:tcPr>
          <w:p w14:paraId="2C4AAF65">
            <w:pPr>
              <w:numPr>
                <w:ilvl w:val="0"/>
                <w:numId w:val="0"/>
              </w:num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</w:tcPr>
          <w:p w14:paraId="77FA248E">
            <w:pPr>
              <w:numPr>
                <w:ilvl w:val="0"/>
                <w:numId w:val="0"/>
              </w:num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单价</w:t>
            </w:r>
          </w:p>
        </w:tc>
        <w:tc>
          <w:tcPr>
            <w:tcW w:w="2025" w:type="dxa"/>
          </w:tcPr>
          <w:p w14:paraId="2D34F241">
            <w:pPr>
              <w:numPr>
                <w:ilvl w:val="0"/>
                <w:numId w:val="0"/>
              </w:num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</w:tcPr>
          <w:p w14:paraId="08A6B39F">
            <w:pPr>
              <w:numPr>
                <w:ilvl w:val="0"/>
                <w:numId w:val="0"/>
              </w:num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单位</w:t>
            </w:r>
          </w:p>
        </w:tc>
        <w:tc>
          <w:tcPr>
            <w:tcW w:w="2025" w:type="dxa"/>
          </w:tcPr>
          <w:p w14:paraId="64232C59">
            <w:pPr>
              <w:numPr>
                <w:ilvl w:val="0"/>
                <w:numId w:val="0"/>
              </w:num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总价</w:t>
            </w:r>
          </w:p>
        </w:tc>
      </w:tr>
      <w:tr w14:paraId="3537A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0D6F6E78">
            <w:pPr>
              <w:numPr>
                <w:ilvl w:val="0"/>
                <w:numId w:val="0"/>
              </w:num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3" w:type="dxa"/>
          </w:tcPr>
          <w:p w14:paraId="73AF3C12">
            <w:pPr>
              <w:numPr>
                <w:ilvl w:val="0"/>
                <w:numId w:val="0"/>
              </w:num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90" w:type="dxa"/>
          </w:tcPr>
          <w:p w14:paraId="3F166CE3">
            <w:pPr>
              <w:numPr>
                <w:ilvl w:val="0"/>
                <w:numId w:val="0"/>
              </w:num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2" w:type="dxa"/>
          </w:tcPr>
          <w:p w14:paraId="2DE3CC06">
            <w:pPr>
              <w:numPr>
                <w:ilvl w:val="0"/>
                <w:numId w:val="0"/>
              </w:num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379D551C">
            <w:pPr>
              <w:numPr>
                <w:ilvl w:val="0"/>
                <w:numId w:val="0"/>
              </w:num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2AEF6D57">
            <w:pPr>
              <w:numPr>
                <w:ilvl w:val="0"/>
                <w:numId w:val="0"/>
              </w:num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2ECA5106">
            <w:pPr>
              <w:numPr>
                <w:ilvl w:val="0"/>
                <w:numId w:val="0"/>
              </w:num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ACBC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 w14:paraId="598A139D">
            <w:pPr>
              <w:numPr>
                <w:ilvl w:val="0"/>
                <w:numId w:val="0"/>
              </w:num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025" w:type="dxa"/>
          </w:tcPr>
          <w:p w14:paraId="11781F29">
            <w:pPr>
              <w:numPr>
                <w:ilvl w:val="0"/>
                <w:numId w:val="0"/>
              </w:num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5304AE51"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</w:p>
    <w:p w14:paraId="3910314B"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669A2FB"/>
    <w:multiLevelType w:val="singleLevel"/>
    <w:tmpl w:val="5669A2F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zNmRjM2UyYzQ1MDY0ODFmNjQ4NzU0ZGIyYTk3NmYifQ=="/>
  </w:docVars>
  <w:rsids>
    <w:rsidRoot w:val="34B53ED7"/>
    <w:rsid w:val="02F32D31"/>
    <w:rsid w:val="05D55E54"/>
    <w:rsid w:val="05F4203A"/>
    <w:rsid w:val="08DB7471"/>
    <w:rsid w:val="0A5D4D63"/>
    <w:rsid w:val="0E393C51"/>
    <w:rsid w:val="13F73D10"/>
    <w:rsid w:val="160A1453"/>
    <w:rsid w:val="202B778C"/>
    <w:rsid w:val="210C1B0B"/>
    <w:rsid w:val="245D51E2"/>
    <w:rsid w:val="29221F0D"/>
    <w:rsid w:val="2AB7166F"/>
    <w:rsid w:val="2C906929"/>
    <w:rsid w:val="2E2A70C6"/>
    <w:rsid w:val="2F471EE1"/>
    <w:rsid w:val="308113CB"/>
    <w:rsid w:val="325F0D10"/>
    <w:rsid w:val="34B53ED7"/>
    <w:rsid w:val="39E74417"/>
    <w:rsid w:val="3B2325E6"/>
    <w:rsid w:val="4F01304E"/>
    <w:rsid w:val="4F4122B6"/>
    <w:rsid w:val="4F815F87"/>
    <w:rsid w:val="54336D9E"/>
    <w:rsid w:val="568755D1"/>
    <w:rsid w:val="59467262"/>
    <w:rsid w:val="5C5D0EDB"/>
    <w:rsid w:val="5DD44E1C"/>
    <w:rsid w:val="625B5C32"/>
    <w:rsid w:val="63FD1904"/>
    <w:rsid w:val="651C2939"/>
    <w:rsid w:val="678511BB"/>
    <w:rsid w:val="68601F3C"/>
    <w:rsid w:val="6B7950FC"/>
    <w:rsid w:val="6D535020"/>
    <w:rsid w:val="6DE4033A"/>
    <w:rsid w:val="7C8D7F4E"/>
    <w:rsid w:val="7E18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1375</Words>
  <Characters>1497</Characters>
  <Lines>0</Lines>
  <Paragraphs>0</Paragraphs>
  <TotalTime>0</TotalTime>
  <ScaleCrop>false</ScaleCrop>
  <LinksUpToDate>false</LinksUpToDate>
  <CharactersWithSpaces>1590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南南</cp:lastModifiedBy>
  <cp:lastPrinted>2023-09-15T00:53:00Z</cp:lastPrinted>
  <dcterms:modified xsi:type="dcterms:W3CDTF">2024-09-05T03:44:21Z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7B66CD2EC7EB4E80877FA1CBAFDEA192_13</vt:lpwstr>
  </property>
</Properties>
</file>